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line="28" w:lineRule="exact"/>
        <w:ind w:left="811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32.15pt;height:1.45pt;mso-position-horizontal-relative:char;mso-position-vertical-relative:line" coordorigin="0,0" coordsize="8643,29">
            <v:rect style="position:absolute;left:0;top:0;width:8643;height:29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4512945</wp:posOffset>
            </wp:positionH>
            <wp:positionV relativeFrom="paragraph">
              <wp:posOffset>155891</wp:posOffset>
            </wp:positionV>
            <wp:extent cx="2186981" cy="466915"/>
            <wp:effectExtent l="0" t="0" r="0" b="0"/>
            <wp:wrapTopAndBottom/>
            <wp:docPr id="1" name="image1.png" descr="AGID | Agenzia per l'Italia Digital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81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  <w:spacing w:line="261" w:lineRule="auto"/>
      </w:pPr>
      <w:r>
        <w:rPr/>
        <w:t>ALLEGATO </w:t>
      </w:r>
      <w:r>
        <w:rPr>
          <w:sz w:val="48"/>
        </w:rPr>
        <w:t>2 </w:t>
      </w:r>
      <w:r>
        <w:rPr/>
        <w:t>ALLE LINEE GUIDA SULL</w:t>
      </w:r>
      <w:r>
        <w:rPr>
          <w:sz w:val="48"/>
        </w:rPr>
        <w:t>’</w:t>
      </w:r>
      <w:r>
        <w:rPr/>
        <w:t>ACCESSIBILITÀ DEGLI STRUMENTI INFORMATICI</w:t>
      </w:r>
    </w:p>
    <w:p>
      <w:pPr>
        <w:pStyle w:val="Title"/>
        <w:spacing w:before="347"/>
        <w:ind w:left="2049" w:right="2521" w:firstLine="0"/>
      </w:pPr>
      <w:r>
        <w:rPr/>
        <w:t>MODELLO DI AUTOVALUTAZIONE</w:t>
      </w:r>
    </w:p>
    <w:p>
      <w:pPr>
        <w:pStyle w:val="BodyText"/>
        <w:spacing w:before="22"/>
        <w:ind w:left="840" w:right="321"/>
      </w:pPr>
      <w:r>
        <w:rPr/>
        <w:t>Il modello di autovalutazione di accessibilità è stato realizzato in conformità alla Legge “Disposizioni per favorire e semplificare l'accesso degli utenti e, in particolare, delle persone con disabilità agli strumenti informatici”.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2"/>
        <w:ind w:left="2049" w:right="1886"/>
        <w:jc w:val="center"/>
      </w:pPr>
      <w:r>
        <w:rPr/>
        <w:t>Page 1 of 37</w:t>
      </w:r>
    </w:p>
    <w:p>
      <w:pPr>
        <w:spacing w:after="0"/>
        <w:jc w:val="center"/>
        <w:sectPr>
          <w:type w:val="continuous"/>
          <w:pgSz w:w="11900" w:h="16850"/>
          <w:pgMar w:top="1600" w:bottom="280" w:left="600" w:right="420"/>
        </w:sectPr>
      </w:pPr>
    </w:p>
    <w:p>
      <w:pPr>
        <w:pStyle w:val="BodyText"/>
        <w:ind w:left="783"/>
        <w:rPr>
          <w:sz w:val="20"/>
        </w:rPr>
      </w:pPr>
      <w:r>
        <w:rPr>
          <w:sz w:val="20"/>
        </w:rPr>
        <w:drawing>
          <wp:inline distT="0" distB="0" distL="0" distR="0">
            <wp:extent cx="2190949" cy="46691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949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840"/>
      </w:pPr>
      <w:r>
        <w:rPr/>
        <w:t>Indice</w:t>
      </w:r>
    </w:p>
    <w:p>
      <w:pPr>
        <w:pStyle w:val="BodyText"/>
        <w:tabs>
          <w:tab w:pos="6419" w:val="left" w:leader="none"/>
        </w:tabs>
        <w:spacing w:before="64"/>
        <w:ind w:left="840"/>
      </w:pPr>
      <w:r>
        <w:rPr/>
        <w:t>Indice</w:t>
        <w:tab/>
        <w:t>2Modello di autovalutazione [V.</w:t>
      </w:r>
      <w:r>
        <w:rPr>
          <w:spacing w:val="-5"/>
        </w:rPr>
        <w:t> </w:t>
      </w:r>
      <w:r>
        <w:rPr/>
        <w:t>01]</w:t>
      </w:r>
    </w:p>
    <w:p>
      <w:pPr>
        <w:pStyle w:val="BodyText"/>
      </w:pPr>
    </w:p>
    <w:p>
      <w:pPr>
        <w:spacing w:before="146"/>
        <w:ind w:left="6799" w:right="0" w:firstLine="0"/>
        <w:jc w:val="left"/>
        <w:rPr>
          <w:b/>
          <w:sz w:val="24"/>
        </w:rPr>
      </w:pPr>
      <w:r>
        <w:rPr>
          <w:sz w:val="24"/>
        </w:rPr>
        <w:t>3Requisiti tecnici di accessibilità</w:t>
      </w:r>
      <w:r>
        <w:rPr>
          <w:b/>
          <w:sz w:val="24"/>
        </w:rPr>
        <w:t>Errore. Il</w:t>
      </w:r>
    </w:p>
    <w:p>
      <w:pPr>
        <w:tabs>
          <w:tab w:pos="9911" w:val="right" w:leader="none"/>
        </w:tabs>
        <w:spacing w:before="440"/>
        <w:ind w:left="840" w:right="0" w:firstLine="0"/>
        <w:jc w:val="left"/>
        <w:rPr>
          <w:sz w:val="24"/>
        </w:rPr>
      </w:pPr>
      <w:r>
        <w:rPr>
          <w:b/>
          <w:sz w:val="24"/>
        </w:rPr>
        <w:t>segnalibro non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è definito.</w:t>
      </w:r>
      <w:r>
        <w:rPr>
          <w:sz w:val="24"/>
        </w:rPr>
        <w:t>Terminologia</w:t>
        <w:tab/>
        <w:t>5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7811" w:val="left" w:leader="none"/>
        </w:tabs>
        <w:ind w:left="840"/>
      </w:pPr>
      <w:r>
        <w:rPr/>
        <w:t>Web</w:t>
        <w:tab/>
        <w:t>4Documenti non</w:t>
      </w:r>
      <w:r>
        <w:rPr>
          <w:spacing w:val="-7"/>
        </w:rPr>
        <w:t> </w:t>
      </w:r>
      <w:r>
        <w:rPr/>
        <w:t>web</w:t>
      </w:r>
    </w:p>
    <w:p>
      <w:pPr>
        <w:pStyle w:val="BodyText"/>
      </w:pPr>
    </w:p>
    <w:p>
      <w:pPr>
        <w:pStyle w:val="BodyText"/>
        <w:spacing w:before="149"/>
        <w:ind w:right="962"/>
        <w:jc w:val="right"/>
      </w:pPr>
      <w:r>
        <w:rPr/>
        <w:t>9Applicazioni</w:t>
      </w:r>
      <w:r>
        <w:rPr>
          <w:spacing w:val="-3"/>
        </w:rPr>
        <w:t> </w:t>
      </w:r>
      <w:r>
        <w:rPr/>
        <w:t>mobili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before="1"/>
        <w:ind w:right="400"/>
        <w:jc w:val="right"/>
      </w:pPr>
      <w:r>
        <w:rPr/>
        <w:t>13Generici 22ICT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7161" w:val="left" w:leader="none"/>
        </w:tabs>
        <w:spacing w:line="600" w:lineRule="auto"/>
        <w:ind w:left="6062" w:right="963" w:hanging="5223"/>
        <w:jc w:val="right"/>
      </w:pPr>
      <w:r>
        <w:rPr/>
        <w:t>con</w:t>
      </w:r>
      <w:r>
        <w:rPr>
          <w:spacing w:val="-1"/>
        </w:rPr>
        <w:t> </w:t>
      </w:r>
      <w:r>
        <w:rPr/>
        <w:t>comunicazione</w:t>
      </w:r>
      <w:r>
        <w:rPr>
          <w:spacing w:val="-4"/>
        </w:rPr>
        <w:t> </w:t>
      </w:r>
      <w:r>
        <w:rPr/>
        <w:t>bidirezionale</w:t>
        <w:tab/>
        <w:tab/>
        <w:t>24ICT con</w:t>
      </w:r>
      <w:r>
        <w:rPr>
          <w:spacing w:val="-6"/>
        </w:rPr>
        <w:t> </w:t>
      </w:r>
      <w:r>
        <w:rPr/>
        <w:t>funzionalità</w:t>
      </w:r>
      <w:r>
        <w:rPr>
          <w:spacing w:val="-2"/>
        </w:rPr>
        <w:t> </w:t>
      </w:r>
      <w:r>
        <w:rPr/>
        <w:t>video 25Documentazione e servizi</w:t>
      </w:r>
      <w:r>
        <w:rPr>
          <w:spacing w:val="-12"/>
        </w:rPr>
        <w:t> </w:t>
      </w:r>
      <w:r>
        <w:rPr/>
        <w:t>a</w:t>
      </w:r>
      <w:r>
        <w:rPr>
          <w:spacing w:val="-2"/>
        </w:rPr>
        <w:t> </w:t>
      </w:r>
      <w:r>
        <w:rPr/>
        <w:t>supporto 26Ulteriori funzioni di</w:t>
      </w:r>
      <w:r>
        <w:rPr>
          <w:spacing w:val="-11"/>
        </w:rPr>
        <w:t> </w:t>
      </w:r>
      <w:r>
        <w:rPr/>
        <w:t>accessibilità</w:t>
      </w:r>
    </w:p>
    <w:p>
      <w:pPr>
        <w:pStyle w:val="BodyText"/>
        <w:tabs>
          <w:tab w:pos="10480" w:val="right" w:leader="none"/>
        </w:tabs>
        <w:spacing w:line="602" w:lineRule="auto"/>
        <w:ind w:left="8788" w:right="396" w:hanging="84"/>
      </w:pPr>
      <w:r>
        <w:rPr/>
        <w:t>26Hardware 28Software</w:t>
        <w:tab/>
        <w:t>31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840"/>
      </w:pPr>
      <w:r>
        <w:rPr/>
        <w:t>Pagina 2 di 37</w:t>
      </w:r>
    </w:p>
    <w:p>
      <w:pPr>
        <w:spacing w:after="0"/>
        <w:sectPr>
          <w:pgSz w:w="11900" w:h="16850"/>
          <w:pgMar w:top="620" w:bottom="280" w:left="6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978" w:hRule="atLeast"/>
        </w:trPr>
        <w:tc>
          <w:tcPr>
            <w:tcW w:w="10450" w:type="dxa"/>
            <w:shd w:val="clear" w:color="auto" w:fill="D9E1F3"/>
          </w:tcPr>
          <w:p>
            <w:pPr>
              <w:pStyle w:val="TableParagraph"/>
              <w:spacing w:before="26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Modello di autovalutazione [V. 01]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Data: 16/09/2020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tabs>
                <w:tab w:pos="3608" w:val="left" w:leader="none"/>
              </w:tabs>
              <w:spacing w:before="200"/>
              <w:ind w:left="115"/>
              <w:rPr>
                <w:sz w:val="24"/>
              </w:rPr>
            </w:pPr>
            <w:r>
              <w:rPr>
                <w:position w:val="1"/>
                <w:sz w:val="24"/>
              </w:rPr>
              <w:t>Breve descrizione</w:t>
            </w:r>
            <w:r>
              <w:rPr>
                <w:spacing w:val="-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del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prodotto:</w:t>
              <w:tab/>
            </w:r>
            <w:r>
              <w:rPr>
                <w:sz w:val="24"/>
              </w:rPr>
              <w:t>Tipologia TYPO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902" w:hRule="atLeast"/>
        </w:trPr>
        <w:tc>
          <w:tcPr>
            <w:tcW w:w="10450" w:type="dxa"/>
          </w:tcPr>
          <w:p>
            <w:pPr>
              <w:pStyle w:val="TableParagraph"/>
              <w:tabs>
                <w:tab w:pos="3621" w:val="left" w:leader="none"/>
              </w:tabs>
              <w:spacing w:before="188"/>
              <w:ind w:left="115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valutazione:</w:t>
              <w:tab/>
            </w:r>
            <w:r>
              <w:rPr>
                <w:position w:val="1"/>
                <w:sz w:val="24"/>
              </w:rPr>
              <w:t>Lighthouse di Chrome,</w:t>
            </w:r>
            <w:r>
              <w:rPr>
                <w:spacing w:val="1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achecker.ca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tabs>
                <w:tab w:pos="3625" w:val="left" w:leader="none"/>
              </w:tabs>
              <w:spacing w:before="142"/>
              <w:ind w:left="115"/>
              <w:rPr>
                <w:sz w:val="24"/>
              </w:rPr>
            </w:pPr>
            <w:r>
              <w:rPr>
                <w:position w:val="-2"/>
                <w:sz w:val="24"/>
              </w:rPr>
              <w:t>Standard applicabili e</w:t>
            </w:r>
            <w:r>
              <w:rPr>
                <w:spacing w:val="-6"/>
                <w:position w:val="-2"/>
                <w:sz w:val="24"/>
              </w:rPr>
              <w:t> </w:t>
            </w:r>
            <w:r>
              <w:rPr>
                <w:position w:val="-2"/>
                <w:sz w:val="24"/>
              </w:rPr>
              <w:t>linee guida:</w:t>
              <w:tab/>
            </w:r>
            <w:r>
              <w:rPr>
                <w:sz w:val="24"/>
              </w:rPr>
              <w:t>Web Content Accessibility Guidelines - WCAG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</w:t>
            </w:r>
          </w:p>
        </w:tc>
      </w:tr>
      <w:tr>
        <w:trPr>
          <w:trHeight w:val="899" w:hRule="atLeast"/>
        </w:trPr>
        <w:tc>
          <w:tcPr>
            <w:tcW w:w="10450" w:type="dxa"/>
          </w:tcPr>
          <w:p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Responsabile alla compilazione:</w:t>
            </w:r>
          </w:p>
        </w:tc>
      </w:tr>
    </w:tbl>
    <w:p>
      <w:pPr>
        <w:pStyle w:val="Heading1"/>
        <w:spacing w:before="0"/>
      </w:pPr>
      <w:bookmarkStart w:name="_bookmark0" w:id="1"/>
      <w:bookmarkEnd w:id="1"/>
      <w:r>
        <w:rPr>
          <w:b w:val="0"/>
        </w:rPr>
      </w:r>
      <w:r>
        <w:rPr/>
        <w:t>Terminologia</w:t>
      </w:r>
    </w:p>
    <w:p>
      <w:pPr>
        <w:pStyle w:val="BodyText"/>
        <w:spacing w:before="65"/>
        <w:ind w:left="120"/>
      </w:pPr>
      <w:r>
        <w:rPr/>
        <w:t>I termini utilizzati per l’analisi di conformità sono definiti come: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240" w:lineRule="auto" w:before="170" w:after="0"/>
        <w:ind w:left="760" w:right="0" w:hanging="358"/>
        <w:jc w:val="left"/>
        <w:rPr>
          <w:sz w:val="24"/>
        </w:rPr>
      </w:pPr>
      <w:r>
        <w:rPr>
          <w:b/>
          <w:sz w:val="24"/>
        </w:rPr>
        <w:t>Soddisfatto: </w:t>
      </w:r>
      <w:r>
        <w:rPr>
          <w:sz w:val="24"/>
        </w:rPr>
        <w:t>tutte le funzionalità dell’ICT soddisfano il</w:t>
      </w:r>
      <w:r>
        <w:rPr>
          <w:spacing w:val="-2"/>
          <w:sz w:val="24"/>
        </w:rPr>
        <w:t> </w:t>
      </w:r>
      <w:r>
        <w:rPr>
          <w:sz w:val="24"/>
        </w:rPr>
        <w:t>criterio.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333" w:lineRule="auto" w:before="172" w:after="0"/>
        <w:ind w:left="760" w:right="1815" w:hanging="358"/>
        <w:jc w:val="left"/>
        <w:rPr>
          <w:sz w:val="24"/>
        </w:rPr>
      </w:pPr>
      <w:r>
        <w:rPr>
          <w:b/>
          <w:sz w:val="24"/>
        </w:rPr>
        <w:t>Non soddisfatto: </w:t>
      </w:r>
      <w:r>
        <w:rPr>
          <w:sz w:val="24"/>
        </w:rPr>
        <w:t>la maggior parte delle funzionalità dell’ICT non soddisfano il criterio (specificare nel campo</w:t>
      </w:r>
      <w:r>
        <w:rPr>
          <w:spacing w:val="-1"/>
          <w:sz w:val="24"/>
        </w:rPr>
        <w:t> </w:t>
      </w:r>
      <w:r>
        <w:rPr>
          <w:sz w:val="24"/>
        </w:rPr>
        <w:t>“Note”).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  <w:tab w:pos="761" w:val="left" w:leader="none"/>
        </w:tabs>
        <w:spacing w:line="381" w:lineRule="auto" w:before="2" w:after="0"/>
        <w:ind w:left="760" w:right="1959" w:hanging="358"/>
        <w:jc w:val="left"/>
        <w:rPr>
          <w:sz w:val="24"/>
        </w:rPr>
      </w:pPr>
      <w:r>
        <w:rPr>
          <w:b/>
          <w:sz w:val="24"/>
        </w:rPr>
        <w:t>Non applicabile: </w:t>
      </w:r>
      <w:r>
        <w:rPr>
          <w:sz w:val="24"/>
        </w:rPr>
        <w:t>il criterio non è applicabile alle funzionalità dell’ICT (specificare nel campo “Note”).</w:t>
      </w:r>
    </w:p>
    <w:p>
      <w:pPr>
        <w:spacing w:after="0" w:line="381" w:lineRule="auto"/>
        <w:jc w:val="left"/>
        <w:rPr>
          <w:sz w:val="24"/>
        </w:rPr>
        <w:sectPr>
          <w:headerReference w:type="default" r:id="rId6"/>
          <w:footerReference w:type="default" r:id="rId7"/>
          <w:pgSz w:w="11900" w:h="16850"/>
          <w:pgMar w:header="1302" w:footer="464" w:top="2020" w:bottom="660" w:left="600" w:right="420"/>
          <w:pgNumType w:start="3"/>
        </w:sectPr>
      </w:pPr>
    </w:p>
    <w:p>
      <w:pPr>
        <w:pStyle w:val="BodyText"/>
        <w:spacing w:before="11"/>
      </w:pPr>
    </w:p>
    <w:p>
      <w:pPr>
        <w:pStyle w:val="Heading1"/>
      </w:pPr>
      <w:r>
        <w:rPr/>
        <w:t>Web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9072"/>
      </w:tblGrid>
      <w:tr>
        <w:trPr>
          <w:trHeight w:val="981" w:hRule="atLeast"/>
        </w:trPr>
        <w:tc>
          <w:tcPr>
            <w:tcW w:w="9919" w:type="dxa"/>
            <w:gridSpan w:val="2"/>
            <w:shd w:val="clear" w:color="auto" w:fill="0066CC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Requisiti tecnici</w:t>
            </w:r>
          </w:p>
        </w:tc>
      </w:tr>
      <w:tr>
        <w:trPr>
          <w:trHeight w:val="978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>
            <w:pPr>
              <w:pStyle w:val="TableParagraph"/>
              <w:spacing w:line="261" w:lineRule="auto" w:before="198"/>
              <w:ind w:left="115" w:right="3068"/>
              <w:rPr>
                <w:sz w:val="24"/>
              </w:rPr>
            </w:pPr>
            <w:r>
              <w:rPr>
                <w:sz w:val="24"/>
              </w:rPr>
              <w:t>Linee guida per l'accessibilità dei contenuti Web (WCAG) 2.0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https://www.w3.org/Translations/WCAG20-it/</w:t>
              </w:r>
            </w:hyperlink>
          </w:p>
        </w:tc>
      </w:tr>
      <w:tr>
        <w:trPr>
          <w:trHeight w:val="98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>
            <w:pPr>
              <w:pStyle w:val="TableParagraph"/>
              <w:spacing w:line="261" w:lineRule="auto" w:before="198"/>
              <w:ind w:left="115" w:right="3068"/>
              <w:rPr>
                <w:sz w:val="24"/>
              </w:rPr>
            </w:pPr>
            <w:r>
              <w:rPr>
                <w:sz w:val="24"/>
              </w:rPr>
              <w:t>Linee guida per l'accessibilità dei contenuti Web (WCAG) 2.1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https://www.w3.org/Translations/WCAG21-it/</w:t>
              </w:r>
            </w:hyperlink>
          </w:p>
        </w:tc>
      </w:tr>
    </w:tbl>
    <w:p>
      <w:pPr>
        <w:pStyle w:val="BodyText"/>
        <w:spacing w:before="4"/>
        <w:rPr>
          <w:b/>
          <w:sz w:val="26"/>
        </w:rPr>
      </w:pPr>
    </w:p>
    <w:p>
      <w:pPr>
        <w:spacing w:before="1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Requisiti minimi per contenuti livello A e AA (obbligatori)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20" w:right="902"/>
      </w:pPr>
      <w:r>
        <w:rPr>
          <w:b/>
        </w:rPr>
        <w:t>Nota: </w:t>
      </w:r>
      <w:r>
        <w:rPr/>
        <w:t>per i documenti inseriti all’interno delle pagine Web (inclusi i documenti e moduli scaricabili) si faccia riferimento ai punti di controllo presenti nella tabella “Documenti non Web”.</w:t>
      </w: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839" w:hRule="atLeast"/>
        </w:trPr>
        <w:tc>
          <w:tcPr>
            <w:tcW w:w="10443" w:type="dxa"/>
            <w:gridSpan w:val="3"/>
            <w:shd w:val="clear" w:color="auto" w:fill="FAFCFF"/>
          </w:tcPr>
          <w:p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5095" w:type="dxa"/>
            <w:shd w:val="clear" w:color="auto" w:fill="0066CC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701" w:type="dxa"/>
            <w:shd w:val="clear" w:color="auto" w:fill="0066CC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3647" w:type="dxa"/>
            <w:shd w:val="clear" w:color="auto" w:fill="0066CC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1.1.1 Contenuti non testuali</w:t>
              </w:r>
              <w:r>
                <w:rPr>
                  <w:b/>
                  <w:color w:val="0000FF"/>
                  <w:sz w:val="24"/>
                </w:rPr>
                <w:t> </w:t>
              </w:r>
            </w:hyperlink>
            <w:r>
              <w:rPr>
                <w:sz w:val="24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9.1.1.1 Contenuti non testuali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2"/>
              <w:ind w:left="12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1.2.1 Solo audio e solo video (preregistrati)</w:t>
              </w:r>
            </w:hyperlink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9.1.2.1 Solo audio e solo video (preregistrati)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3"/>
              <w:ind w:left="8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2">
              <w:r>
                <w:rPr>
                  <w:b/>
                  <w:color w:val="0000FF"/>
                  <w:sz w:val="24"/>
                  <w:u w:val="single" w:color="0000FF"/>
                </w:rPr>
                <w:t>1.2.2 Sottotitoli (preregistrati)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9.1.2.2 Sottotitoli (preregistrati)</w:t>
            </w:r>
          </w:p>
        </w:tc>
        <w:tc>
          <w:tcPr>
            <w:tcW w:w="1701" w:type="dxa"/>
          </w:tcPr>
          <w:p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1140"/>
              <w:rPr>
                <w:b/>
                <w:sz w:val="24"/>
              </w:rPr>
            </w:pPr>
            <w:hyperlink r:id="rId13">
              <w:r>
                <w:rPr>
                  <w:b/>
                  <w:color w:val="0000FF"/>
                  <w:sz w:val="24"/>
                  <w:u w:val="single" w:color="0000FF"/>
                </w:rPr>
                <w:t>1.2.3 Audiodescrizio</w:t>
              </w:r>
              <w:r>
                <w:rPr>
                  <w:b/>
                  <w:color w:val="0000FF"/>
                  <w:sz w:val="24"/>
                  <w:u w:val="thick" w:color="69D925"/>
                </w:rPr>
                <w:t>n</w:t>
              </w:r>
              <w:r>
                <w:rPr>
                  <w:b/>
                  <w:color w:val="0000FF"/>
                  <w:sz w:val="24"/>
                </w:rPr>
                <w:t>e o tipo di media</w:t>
              </w:r>
            </w:hyperlink>
            <w:hyperlink r:id="rId13">
              <w:r>
                <w:rPr>
                  <w:b/>
                  <w:color w:val="0000FF"/>
                  <w:sz w:val="24"/>
                  <w:u w:val="single" w:color="0000FF"/>
                </w:rPr>
                <w:t> alternativo (preregistrato)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line="261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1.2.3 Audiodescrizione o tipo di media alternativo (preregistrato)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4">
              <w:r>
                <w:rPr>
                  <w:b/>
                  <w:color w:val="0000FF"/>
                  <w:sz w:val="24"/>
                  <w:u w:val="single" w:color="0000FF"/>
                </w:rPr>
                <w:t>1.2.4 Sottotitoli (in tempo reale)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9.1.2.4 Sottotitoli (in tempo reale)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423"/>
              <w:rPr>
                <w:b/>
                <w:sz w:val="24"/>
              </w:rPr>
            </w:pPr>
            <w:hyperlink r:id="rId15">
              <w:r>
                <w:rPr>
                  <w:b/>
                  <w:color w:val="0000FF"/>
                  <w:sz w:val="24"/>
                  <w:u w:val="single" w:color="0000FF"/>
                </w:rPr>
                <w:t>1.2.5 Audiodescrizione (preregistrata)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9.1.2.5 Audiodescrizione (preregistrata)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6">
              <w:r>
                <w:rPr>
                  <w:b/>
                  <w:color w:val="0000FF"/>
                  <w:sz w:val="24"/>
                  <w:u w:val="single" w:color="0000FF"/>
                </w:rPr>
                <w:t>1.3.1 Informazioni e correlazioni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9.1.3.1 Informazioni e correlazioni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7">
              <w:r>
                <w:rPr>
                  <w:b/>
                  <w:color w:val="0000FF"/>
                  <w:sz w:val="24"/>
                  <w:u w:val="single" w:color="0000FF"/>
                </w:rPr>
                <w:t>1.3.2 Sequenza significativa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9.1.3.2 Sequenza significativa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1.3.3 Caratteristiche sensoriali 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9.1.3.3 Caratteristiche sensoriali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8">
              <w:r>
                <w:rPr>
                  <w:b/>
                  <w:color w:val="0000FF"/>
                  <w:sz w:val="24"/>
                  <w:u w:val="single" w:color="0000FF"/>
                </w:rPr>
                <w:t>1.3.4 Orientamento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il livello AA 2.1)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9.1.3.4 Orientamento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97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726"/>
              <w:rPr>
                <w:b/>
                <w:sz w:val="24"/>
              </w:rPr>
            </w:pPr>
            <w:hyperlink r:id="rId19">
              <w:r>
                <w:rPr>
                  <w:b/>
                  <w:color w:val="0000FF"/>
                  <w:sz w:val="24"/>
                  <w:u w:val="single" w:color="0000FF"/>
                </w:rPr>
                <w:t>1.3.5 Identificare lo scopo degli 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livello AA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9.1.3.5 Identificare lo scopo degli input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0"/>
              <w:ind w:left="8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0">
              <w:r>
                <w:rPr>
                  <w:b/>
                  <w:color w:val="0000FF"/>
                  <w:sz w:val="24"/>
                  <w:u w:val="single" w:color="0000FF"/>
                </w:rPr>
                <w:t>1.4.1 Uso del colore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9.1.4.1 Uso del colore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1">
              <w:r>
                <w:rPr>
                  <w:b/>
                  <w:color w:val="0000FF"/>
                  <w:sz w:val="24"/>
                  <w:u w:val="single" w:color="0000FF"/>
                </w:rPr>
                <w:t>1.4.2 Controllo del sonoro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9.1.4.2 Controllo del sonoro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2">
              <w:r>
                <w:rPr>
                  <w:b/>
                  <w:color w:val="0000FF"/>
                  <w:sz w:val="24"/>
                  <w:u w:val="single" w:color="0000FF"/>
                </w:rPr>
                <w:t>1.4.3 Contrasto minimo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9.1.4.3 Contrasto minimo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5"/>
              <w:ind w:left="138"/>
              <w:rPr>
                <w:sz w:val="22"/>
              </w:rPr>
            </w:pPr>
            <w:r>
              <w:rPr>
                <w:sz w:val="22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3">
              <w:r>
                <w:rPr>
                  <w:b/>
                  <w:color w:val="0000FF"/>
                  <w:sz w:val="24"/>
                  <w:u w:val="single" w:color="0000FF"/>
                </w:rPr>
                <w:t>1.4.4 Ridimensionamento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9.1.4.4 Ridimensionamento del testo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4">
              <w:r>
                <w:rPr>
                  <w:b/>
                  <w:color w:val="0000FF"/>
                  <w:sz w:val="24"/>
                  <w:u w:val="single" w:color="0000FF"/>
                </w:rPr>
                <w:t>1.4.5 Immagini di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9.1.4.5 Immagini di testo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20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500"/>
              <w:rPr>
                <w:b/>
                <w:sz w:val="24"/>
              </w:rPr>
            </w:pPr>
            <w:hyperlink r:id="rId25">
              <w:r>
                <w:rPr>
                  <w:b/>
                  <w:color w:val="0000FF"/>
                  <w:sz w:val="24"/>
                  <w:u w:val="single" w:color="0000FF"/>
                </w:rPr>
                <w:t>1.4.10 Ricalcolo del flusso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9.1.4.10 Ricalcolo del flusso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9"/>
              <w:ind w:left="13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79"/>
              <w:rPr>
                <w:b/>
                <w:sz w:val="24"/>
              </w:rPr>
            </w:pPr>
            <w:hyperlink r:id="rId26">
              <w:r>
                <w:rPr>
                  <w:b/>
                  <w:color w:val="0000FF"/>
                  <w:sz w:val="24"/>
                  <w:u w:val="single" w:color="0000FF"/>
                </w:rPr>
                <w:t>1.4.11 Contrasto in contenuti non testuali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9.1.4.11 Contrasto in contenuti non testuali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0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366"/>
              <w:rPr>
                <w:b/>
                <w:sz w:val="24"/>
              </w:rPr>
            </w:pPr>
            <w:hyperlink r:id="rId27">
              <w:r>
                <w:rPr>
                  <w:b/>
                  <w:color w:val="0000FF"/>
                  <w:sz w:val="24"/>
                  <w:u w:val="single" w:color="0000FF"/>
                </w:rPr>
                <w:t>1.4.12 Spaziatura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9.1.4.12 Spaziatura del testo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160"/>
              <w:rPr>
                <w:b/>
                <w:sz w:val="24"/>
              </w:rPr>
            </w:pPr>
            <w:hyperlink r:id="rId28">
              <w:r>
                <w:rPr>
                  <w:b/>
                  <w:color w:val="0000FF"/>
                  <w:sz w:val="24"/>
                  <w:u w:val="single" w:color="0000FF"/>
                </w:rPr>
                <w:t>1.4.13 Contenuto con Hover o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9.1.4.13 Contenuto con Hover o Focus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9">
              <w:r>
                <w:rPr>
                  <w:b/>
                  <w:color w:val="0000FF"/>
                  <w:sz w:val="24"/>
                  <w:u w:val="single" w:color="0000FF"/>
                </w:rPr>
                <w:t>2.1.1 Tastiera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9.2.1.1 Tastiera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65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220"/>
              <w:rPr>
                <w:b/>
                <w:sz w:val="24"/>
              </w:rPr>
            </w:pPr>
            <w:hyperlink r:id="rId30">
              <w:r>
                <w:rPr>
                  <w:b/>
                  <w:color w:val="0000FF"/>
                  <w:sz w:val="24"/>
                  <w:u w:val="single" w:color="0000FF"/>
                </w:rPr>
                <w:t>2.1.2 Nessun impedimento all'uso della tastiera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A)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9.2.1.2 Nessun impedimento all'uso della tastiera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7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1">
              <w:r>
                <w:rPr>
                  <w:b/>
                  <w:color w:val="0000FF"/>
                  <w:sz w:val="24"/>
                  <w:u w:val="single" w:color="0000FF"/>
                </w:rPr>
                <w:t>2.1.4 Tasti di scelta rapida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 – WCAG 2.1)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9.2.1.4 Tasti di scelta rapida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7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2">
              <w:r>
                <w:rPr>
                  <w:b/>
                  <w:color w:val="0000FF"/>
                  <w:sz w:val="24"/>
                  <w:u w:val="single" w:color="0000FF"/>
                </w:rPr>
                <w:t>2.2.1 Regolazione tempi di esecuzione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9.2.2.1 Regolazione tempi di esecuzione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3">
              <w:r>
                <w:rPr>
                  <w:b/>
                  <w:color w:val="0000FF"/>
                  <w:sz w:val="24"/>
                  <w:u w:val="single" w:color="0000FF"/>
                </w:rPr>
                <w:t>2.2.2 Pausa, Stop, Nascondi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9.2.2.2 Pausa, Stop, Nascondi</w:t>
            </w:r>
          </w:p>
        </w:tc>
        <w:tc>
          <w:tcPr>
            <w:tcW w:w="1701" w:type="dxa"/>
          </w:tcPr>
          <w:p>
            <w:pPr>
              <w:pStyle w:val="TableParagraph"/>
              <w:spacing w:before="20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277"/>
              <w:rPr>
                <w:b/>
                <w:sz w:val="24"/>
              </w:rPr>
            </w:pPr>
            <w:hyperlink r:id="rId34">
              <w:r>
                <w:rPr>
                  <w:b/>
                  <w:color w:val="0000FF"/>
                  <w:sz w:val="24"/>
                  <w:u w:val="single" w:color="0000FF"/>
                </w:rPr>
                <w:t>2.3.1 Tre lampeggiamenti o inferiore alla soglia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9.2.3.1 Tre lampeggiamenti o inferiore alla soglia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5">
              <w:r>
                <w:rPr>
                  <w:b/>
                  <w:color w:val="0000FF"/>
                  <w:sz w:val="24"/>
                  <w:u w:val="single" w:color="0000FF"/>
                </w:rPr>
                <w:t>2.4.1 Salto di blocchi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9.2.4.1 Salto di blocchi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6">
              <w:r>
                <w:rPr>
                  <w:b/>
                  <w:color w:val="0000FF"/>
                  <w:sz w:val="24"/>
                  <w:u w:val="single" w:color="0000FF"/>
                </w:rPr>
                <w:t>2.4.2 Titolazione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9.2.4.2 Titolazione della pagina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7">
              <w:r>
                <w:rPr>
                  <w:b/>
                  <w:color w:val="0000FF"/>
                  <w:sz w:val="24"/>
                  <w:u w:val="single" w:color="0000FF"/>
                </w:rPr>
                <w:t>2.4.3 Ordine del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9.2.4.3 Ordine del focus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1"/>
              <w:ind w:left="8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598"/>
              <w:rPr>
                <w:b/>
                <w:sz w:val="24"/>
              </w:rPr>
            </w:pPr>
            <w:hyperlink r:id="rId38">
              <w:r>
                <w:rPr>
                  <w:b/>
                  <w:color w:val="0000FF"/>
                  <w:sz w:val="24"/>
                  <w:u w:val="single" w:color="0000FF"/>
                </w:rPr>
                <w:t>2.4.4 Scopo del collegamento (nel contesto)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9.2.4.4 Scopo del collegamento (nel contesto)</w:t>
            </w:r>
          </w:p>
        </w:tc>
        <w:tc>
          <w:tcPr>
            <w:tcW w:w="1701" w:type="dxa"/>
          </w:tcPr>
          <w:p>
            <w:pPr>
              <w:pStyle w:val="TableParagraph"/>
              <w:spacing w:before="215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9">
              <w:r>
                <w:rPr>
                  <w:b/>
                  <w:color w:val="0000FF"/>
                  <w:sz w:val="24"/>
                  <w:u w:val="single" w:color="0000FF"/>
                </w:rPr>
                <w:t>2.4.5 Differenti modalità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9.2.4.5 Differenti modalità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3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0">
              <w:r>
                <w:rPr>
                  <w:b/>
                  <w:color w:val="0000FF"/>
                  <w:sz w:val="24"/>
                  <w:u w:val="single" w:color="0000FF"/>
                </w:rPr>
                <w:t>2.4.6 Intestazioni ed etichette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9.2.4.6 Intestazioni ed etichette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1">
              <w:r>
                <w:rPr>
                  <w:b/>
                  <w:color w:val="0000FF"/>
                  <w:sz w:val="24"/>
                  <w:u w:val="single" w:color="0000FF"/>
                </w:rPr>
                <w:t>2.4.7 Focus visibile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9.2.4.7 Focus visibile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7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687"/>
              <w:rPr>
                <w:b/>
                <w:sz w:val="24"/>
              </w:rPr>
            </w:pPr>
            <w:hyperlink r:id="rId42">
              <w:r>
                <w:rPr>
                  <w:b/>
                  <w:color w:val="0000FF"/>
                  <w:sz w:val="24"/>
                  <w:u w:val="single" w:color="0000FF"/>
                </w:rPr>
                <w:t>2.5.1 Movimenti del puntatore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9.2.5.1 Movimenti del puntatore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3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4" w:lineRule="auto" w:before="198"/>
              <w:ind w:left="107" w:right="435"/>
              <w:rPr>
                <w:b/>
                <w:sz w:val="24"/>
              </w:rPr>
            </w:pPr>
            <w:hyperlink r:id="rId43">
              <w:r>
                <w:rPr>
                  <w:b/>
                  <w:color w:val="0000FF"/>
                  <w:sz w:val="24"/>
                  <w:u w:val="single" w:color="0000FF"/>
                </w:rPr>
                <w:t>2.5.2 Cancellazione delle azioni del puntatore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 (livello AA - WCAG 2.1)</w:t>
            </w:r>
          </w:p>
          <w:p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9.2.5.2 Cancellazione delle azioni del puntatore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5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4">
              <w:r>
                <w:rPr>
                  <w:b/>
                  <w:color w:val="0000FF"/>
                  <w:sz w:val="24"/>
                  <w:u w:val="single" w:color="0000FF"/>
                </w:rPr>
                <w:t>2.5.3 Etichetta nel nome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9.2.5.3 Etichetta nel nome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366"/>
              <w:rPr>
                <w:b/>
                <w:sz w:val="24"/>
              </w:rPr>
            </w:pPr>
            <w:hyperlink r:id="rId45">
              <w:r>
                <w:rPr>
                  <w:b/>
                  <w:color w:val="0000FF"/>
                  <w:sz w:val="24"/>
                  <w:u w:val="single" w:color="0000FF"/>
                </w:rPr>
                <w:t>2.5.4 Azionamento da movimento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9.2.5.4 Azionamento da movimento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6">
              <w:r>
                <w:rPr>
                  <w:b/>
                  <w:color w:val="0000FF"/>
                  <w:sz w:val="24"/>
                  <w:u w:val="single" w:color="0000FF"/>
                </w:rPr>
                <w:t>3.1.1 Lingua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9.3.1.1 Lingua della pagina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7"/>
              <w:ind w:left="84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7">
              <w:r>
                <w:rPr>
                  <w:b/>
                  <w:color w:val="0000FF"/>
                  <w:sz w:val="24"/>
                  <w:u w:val="single" w:color="0000FF"/>
                </w:rPr>
                <w:t>3.1.2 Parti in lingua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9.3.1.2 Parti in lingua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1701"/>
        <w:gridCol w:w="3647"/>
      </w:tblGrid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8">
              <w:r>
                <w:rPr>
                  <w:b/>
                  <w:color w:val="0000FF"/>
                  <w:sz w:val="24"/>
                  <w:u w:val="single" w:color="0000FF"/>
                </w:rPr>
                <w:t>3.2.1 Al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9.3.2.1 Al focus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65"/>
              <w:ind w:left="88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9">
              <w:r>
                <w:rPr>
                  <w:b/>
                  <w:color w:val="0000FF"/>
                  <w:sz w:val="24"/>
                  <w:u w:val="single" w:color="0000FF"/>
                </w:rPr>
                <w:t>3.2.2 All’input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9.3.2.2 All’input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6"/>
              <w:ind w:left="8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0">
              <w:r>
                <w:rPr>
                  <w:b/>
                  <w:color w:val="0000FF"/>
                  <w:sz w:val="24"/>
                  <w:u w:val="single" w:color="0000FF"/>
                </w:rPr>
                <w:t>3.2.3 Navigazione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9.3.2.3 Navigazione coerente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2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1">
              <w:r>
                <w:rPr>
                  <w:b/>
                  <w:color w:val="0000FF"/>
                  <w:sz w:val="24"/>
                  <w:u w:val="single" w:color="0000FF"/>
                </w:rPr>
                <w:t>3.2.4 Identificazione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9.3.2.4 Identificazione coerente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09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2">
              <w:r>
                <w:rPr>
                  <w:b/>
                  <w:color w:val="0000FF"/>
                  <w:sz w:val="24"/>
                  <w:u w:val="single" w:color="0000FF"/>
                </w:rPr>
                <w:t>3.3.1 Identificazione di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9.3.3.1 Identificazione di errori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5"/>
              <w:ind w:left="7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3">
              <w:r>
                <w:rPr>
                  <w:b/>
                  <w:color w:val="0000FF"/>
                  <w:sz w:val="24"/>
                  <w:u w:val="single" w:color="0000FF"/>
                </w:rPr>
                <w:t>3.3.2 Etichette o istruzioni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9.3.3.2 Etichette o istruzioni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2"/>
              <w:ind w:left="6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4">
              <w:r>
                <w:rPr>
                  <w:b/>
                  <w:color w:val="0000FF"/>
                  <w:sz w:val="24"/>
                  <w:u w:val="single" w:color="0000FF"/>
                </w:rPr>
                <w:t>3.3.3 Suggerimenti per gli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9.3.3.3 Suggerimenti per gli errori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5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5095" w:type="dxa"/>
          </w:tcPr>
          <w:p>
            <w:pPr>
              <w:pStyle w:val="TableParagraph"/>
              <w:spacing w:line="261" w:lineRule="auto" w:before="198"/>
              <w:ind w:left="107" w:right="261"/>
              <w:rPr>
                <w:b/>
                <w:sz w:val="24"/>
              </w:rPr>
            </w:pPr>
            <w:hyperlink r:id="rId55">
              <w:r>
                <w:rPr>
                  <w:b/>
                  <w:color w:val="0000FF"/>
                  <w:sz w:val="24"/>
                  <w:u w:val="single" w:color="0000FF"/>
                </w:rPr>
                <w:t>3.3.4 Prevenzione degli errori (legali, finanziari,</w:t>
              </w:r>
            </w:hyperlink>
            <w:hyperlink r:id="rId55">
              <w:r>
                <w:rPr>
                  <w:b/>
                  <w:color w:val="0000FF"/>
                  <w:sz w:val="24"/>
                  <w:u w:val="single" w:color="0000FF"/>
                </w:rPr>
                <w:t> dati)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>
            <w:pPr>
              <w:pStyle w:val="TableParagraph"/>
              <w:spacing w:line="264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9.3.3.4 Prevenzione degli errori (legali, finanziari, dati)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6">
              <w:r>
                <w:rPr>
                  <w:b/>
                  <w:color w:val="0000FF"/>
                  <w:sz w:val="24"/>
                  <w:u w:val="single" w:color="0000FF"/>
                </w:rPr>
                <w:t>4.1.1 Analisi sintattica (parsing)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9.4.1.1 Analisi sintattica (parsing)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0"/>
              <w:ind w:left="11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7">
              <w:r>
                <w:rPr>
                  <w:b/>
                  <w:color w:val="0000FF"/>
                  <w:sz w:val="24"/>
                  <w:u w:val="single" w:color="0000FF"/>
                </w:rPr>
                <w:t>4.1.2 Nome, ruolo, valore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9.4.1.2 Nome, ruolo, valore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15"/>
              <w:ind w:left="12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5095" w:type="dxa"/>
          </w:tcPr>
          <w:p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8">
              <w:r>
                <w:rPr>
                  <w:b/>
                  <w:color w:val="0000FF"/>
                  <w:sz w:val="24"/>
                  <w:u w:val="single" w:color="0000FF"/>
                </w:rPr>
                <w:t>4.1.3 Messaggi di stato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9.4.1.3 Messaggi di stato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6"/>
              <w:ind w:left="12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</w:pPr>
    </w:p>
    <w:p>
      <w:pPr>
        <w:pStyle w:val="Heading1"/>
      </w:pPr>
      <w:r>
        <w:rPr/>
        <w:t>Documenti non web</w:t>
      </w:r>
    </w:p>
    <w:p>
      <w:pPr>
        <w:pStyle w:val="BodyText"/>
        <w:spacing w:before="94"/>
        <w:ind w:left="120"/>
      </w:pPr>
      <w:r>
        <w:rPr>
          <w:b/>
        </w:rPr>
        <w:t>Nota: </w:t>
      </w:r>
      <w:r>
        <w:rPr/>
        <w:t>tali criteri si applicano anche ai documenti pubblicati nel web.</w:t>
      </w: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841" w:hRule="atLeast"/>
        </w:trPr>
        <w:tc>
          <w:tcPr>
            <w:tcW w:w="10450" w:type="dxa"/>
            <w:gridSpan w:val="3"/>
            <w:shd w:val="clear" w:color="auto" w:fill="FAFCFF"/>
          </w:tcPr>
          <w:p>
            <w:pPr>
              <w:pStyle w:val="TableParagraph"/>
              <w:spacing w:before="124"/>
              <w:ind w:left="24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77" w:hRule="atLeast"/>
        </w:trPr>
        <w:tc>
          <w:tcPr>
            <w:tcW w:w="3504" w:type="dxa"/>
            <w:shd w:val="clear" w:color="auto" w:fill="0066CC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73" w:type="dxa"/>
            <w:shd w:val="clear" w:color="auto" w:fill="0066CC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73" w:type="dxa"/>
            <w:shd w:val="clear" w:color="auto" w:fill="0066CC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842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273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531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7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217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531"/>
              <w:rPr>
                <w:sz w:val="24"/>
              </w:rPr>
            </w:pPr>
            <w:r>
              <w:rPr>
                <w:sz w:val="24"/>
              </w:rPr>
              <w:t>10.1.2.4 Sottotitoli (in tempo reale)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840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106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534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95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201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22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428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471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Pausa, stop, nascondi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383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088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184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092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648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918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3473"/>
        <w:gridCol w:w="3473"/>
      </w:tblGrid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560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504" w:type="dxa"/>
          </w:tcPr>
          <w:p>
            <w:pPr>
              <w:pStyle w:val="TableParagraph"/>
              <w:spacing w:line="264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918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50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10.5 Posizionamento sottotitoli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504" w:type="dxa"/>
          </w:tcPr>
          <w:p>
            <w:pPr>
              <w:pStyle w:val="TableParagraph"/>
              <w:spacing w:line="261" w:lineRule="auto" w:before="198"/>
              <w:ind w:left="115" w:right="708"/>
              <w:rPr>
                <w:sz w:val="24"/>
              </w:rPr>
            </w:pPr>
            <w:r>
              <w:rPr>
                <w:sz w:val="24"/>
              </w:rPr>
              <w:t>10.6 Temporizzazione della descrizione audio</w:t>
            </w: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</w:pPr>
    </w:p>
    <w:p>
      <w:pPr>
        <w:pStyle w:val="Heading1"/>
      </w:pPr>
      <w:r>
        <w:rPr/>
        <w:t>Applicazioni mobili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10450" w:type="dxa"/>
            <w:gridSpan w:val="3"/>
            <w:shd w:val="clear" w:color="auto" w:fill="FAFCFF"/>
          </w:tcPr>
          <w:p>
            <w:pPr>
              <w:pStyle w:val="TableParagraph"/>
              <w:spacing w:before="103"/>
              <w:ind w:left="114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80" w:hRule="atLeast"/>
        </w:trPr>
        <w:tc>
          <w:tcPr>
            <w:tcW w:w="3485" w:type="dxa"/>
            <w:shd w:val="clear" w:color="auto" w:fill="0066CC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5" w:type="dxa"/>
            <w:shd w:val="clear" w:color="auto" w:fill="0066CC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0" w:type="dxa"/>
            <w:shd w:val="clear" w:color="auto" w:fill="0066CC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73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99"/>
              <w:rPr>
                <w:sz w:val="24"/>
              </w:rPr>
            </w:pPr>
            <w:r>
              <w:rPr>
                <w:sz w:val="24"/>
              </w:rPr>
              <w:t>5.4 Conservazione delle informazioni sull’accessibilità durante la conversione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86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627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34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99"/>
              <w:rPr>
                <w:sz w:val="24"/>
              </w:rPr>
            </w:pPr>
            <w:r>
              <w:rPr>
                <w:sz w:val="24"/>
              </w:rPr>
              <w:t>6.2.1.1 Comunicazione di testo in tempo reale (RTT)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405"/>
              <w:rPr>
                <w:sz w:val="24"/>
              </w:rPr>
            </w:pPr>
            <w:r>
              <w:rPr>
                <w:sz w:val="24"/>
              </w:rPr>
              <w:t>6.2.1.2 Voce e testo concomitanti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926"/>
              <w:rPr>
                <w:sz w:val="24"/>
              </w:rPr>
            </w:pPr>
            <w:r>
              <w:rPr>
                <w:sz w:val="24"/>
              </w:rPr>
              <w:t>6.2.2.1 Visualizzazione visivamente distinguibile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755"/>
              <w:rPr>
                <w:sz w:val="24"/>
              </w:rPr>
            </w:pPr>
            <w:r>
              <w:rPr>
                <w:sz w:val="24"/>
              </w:rPr>
              <w:t>6.2.2.2 Direzione di invio e ricezione determinabile programmaticamente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50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18"/>
              <w:rPr>
                <w:sz w:val="24"/>
              </w:rPr>
            </w:pPr>
            <w:r>
              <w:rPr>
                <w:sz w:val="24"/>
              </w:rPr>
              <w:t>6.3 Identificazione delle chiamate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71"/>
              <w:rPr>
                <w:sz w:val="24"/>
              </w:rPr>
            </w:pPr>
            <w:r>
              <w:rPr>
                <w:sz w:val="24"/>
              </w:rPr>
              <w:t>6.4 Alternative ai servizi basati sulla voce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6.5.3 Frequenza dei fotogrammi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2"/>
              <w:rPr>
                <w:sz w:val="24"/>
              </w:rPr>
            </w:pPr>
            <w:r>
              <w:rPr>
                <w:sz w:val="24"/>
              </w:rPr>
              <w:t>6.5.4 Sincronizzazione tra audio e video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di sottotitoli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33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21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978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63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51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47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4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512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98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21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87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58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515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76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3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09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52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Pause, stop, nascondi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64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69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5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73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29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99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41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63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99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15"/>
              <w:rPr>
                <w:sz w:val="24"/>
              </w:rPr>
            </w:pPr>
            <w:r>
              <w:rPr>
                <w:sz w:val="24"/>
              </w:rPr>
              <w:t>11.1.1.1 Contenuti non testuali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15"/>
              <w:rPr>
                <w:sz w:val="24"/>
              </w:rPr>
            </w:pPr>
            <w:r>
              <w:rPr>
                <w:sz w:val="24"/>
              </w:rPr>
              <w:t>11.1.1.2 Contenuti non testuali (funzionalità chiusa)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11.1.2.1.2 Solo audio e solo video (preregistrati – 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preregistrati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22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12"/>
              <w:rPr>
                <w:sz w:val="24"/>
              </w:rPr>
            </w:pPr>
            <w:r>
              <w:rPr>
                <w:sz w:val="24"/>
              </w:rPr>
              <w:t>11.1.2.4 Sottotitoli (in tempo reale)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905"/>
              <w:rPr>
                <w:sz w:val="24"/>
              </w:rPr>
            </w:pPr>
            <w:r>
              <w:rPr>
                <w:sz w:val="24"/>
              </w:rPr>
              <w:t>11.1.3.1.1 Informazioni e correlazioni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11.1.3.2.1 Sequenza significativa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6"/>
              <w:rPr>
                <w:sz w:val="24"/>
              </w:rPr>
            </w:pPr>
            <w:r>
              <w:rPr>
                <w:sz w:val="24"/>
              </w:rPr>
              <w:t>11.1.3.5.1 Identificare lo scopo degli input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83"/>
              <w:rPr>
                <w:sz w:val="24"/>
              </w:rPr>
            </w:pPr>
            <w:r>
              <w:rPr>
                <w:sz w:val="24"/>
              </w:rPr>
              <w:t>11.1.3.5.2 Identificare lo scopo degli input (funzionalità chiusa)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chiuse)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5"/>
        <w:gridCol w:w="3480"/>
      </w:tblGrid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Generici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135"/>
              <w:ind w:left="14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225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03"/>
              <w:rPr>
                <w:sz w:val="24"/>
              </w:rPr>
            </w:pPr>
            <w:r>
              <w:rPr>
                <w:sz w:val="24"/>
              </w:rPr>
              <w:t>Laddove l’ICT ha caratteristiche di accessibilità documentate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67"/>
              <w:rPr>
                <w:sz w:val="24"/>
              </w:rPr>
            </w:pPr>
            <w:r>
              <w:rPr>
                <w:sz w:val="24"/>
              </w:rPr>
              <w:t>Laddove l’ICT utilizza le caratteristiche biologiche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844"/>
              <w:rPr>
                <w:sz w:val="24"/>
              </w:rPr>
            </w:pPr>
            <w:r>
              <w:rPr>
                <w:sz w:val="24"/>
              </w:rPr>
              <w:t>5.4 Conservazione delle informazioni sull'accessibilità durante la conversione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20"/>
              <w:rPr>
                <w:sz w:val="24"/>
              </w:rPr>
            </w:pPr>
            <w:r>
              <w:rPr>
                <w:sz w:val="24"/>
              </w:rPr>
              <w:t>Laddove l’ICT converte informazioni o comunicazioni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824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>
        <w:trPr>
          <w:trHeight w:val="161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279"/>
              <w:rPr>
                <w:sz w:val="24"/>
              </w:rPr>
            </w:pPr>
            <w:r>
              <w:rPr>
                <w:sz w:val="24"/>
              </w:rPr>
              <w:t>Laddove l’ICT ha una funzione di ripetizione tasti che non può essere disattivata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26"/>
              <w:rPr>
                <w:sz w:val="24"/>
              </w:rPr>
            </w:pPr>
            <w:r>
              <w:rPr>
                <w:sz w:val="24"/>
              </w:rPr>
              <w:t>Laddove l’ICT ha una tastiera o una tastiera numerica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185"/>
              <w:rPr>
                <w:sz w:val="24"/>
              </w:rPr>
            </w:pPr>
            <w:r>
              <w:rPr>
                <w:sz w:val="24"/>
              </w:rPr>
              <w:t>Laddove l’ICT utilizza azioni simultanee dell’utente per il suo funzionamento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pStyle w:val="Heading1"/>
      </w:pPr>
      <w:r>
        <w:rPr/>
        <w:t>ICT con comunicazione bidirezionale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89"/>
              <w:ind w:left="15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308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506"/>
              <w:rPr>
                <w:sz w:val="24"/>
              </w:rPr>
            </w:pPr>
            <w:r>
              <w:rPr>
                <w:sz w:val="24"/>
              </w:rPr>
              <w:t>6.2.1 Fornitura di testo in tempo reale (RTT)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529"/>
              <w:rPr>
                <w:sz w:val="24"/>
              </w:rPr>
            </w:pPr>
            <w:r>
              <w:rPr>
                <w:sz w:val="24"/>
              </w:rPr>
              <w:t>6.2.2 Visualizzazione del testo in tempo reale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688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297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6.3 Identificazione del chiamante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 elemento a)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1275"/>
              <w:rPr>
                <w:sz w:val="24"/>
              </w:rPr>
            </w:pPr>
            <w:r>
              <w:rPr>
                <w:sz w:val="24"/>
              </w:rPr>
              <w:t>6.5.3 Frequenza dei fotogrammi elemento b)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ICT con funzionalità video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dei sottotitoli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161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1001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1189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1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205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264" w:lineRule="auto" w:before="198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</w:tbl>
    <w:p>
      <w:pPr>
        <w:spacing w:after="0" w:line="264" w:lineRule="auto"/>
        <w:rPr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pStyle w:val="Heading1"/>
      </w:pPr>
      <w:r>
        <w:rPr/>
        <w:t>Documentazione e servizi a supporto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129"/>
              <w:ind w:left="133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122"/>
              <w:rPr>
                <w:sz w:val="24"/>
              </w:rPr>
            </w:pPr>
            <w:r>
              <w:rPr>
                <w:sz w:val="24"/>
              </w:rPr>
              <w:t>12.1.1 Caratteristiche di accessibilità e compatibilità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12.1.2 Documentazione accessibile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637"/>
              <w:rPr>
                <w:sz w:val="24"/>
              </w:rPr>
            </w:pPr>
            <w:r>
              <w:rPr>
                <w:sz w:val="24"/>
              </w:rPr>
              <w:t>12.2.2 Informazioni sulle caratteristiche di accessibilità e compatibilità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12.2.3 Comunicazione effettiva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12.2.4 Documentazione accessibile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Ulteriori funzioni di accessibilità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416"/>
        <w:gridCol w:w="2129"/>
        <w:gridCol w:w="3082"/>
      </w:tblGrid>
      <w:tr>
        <w:trPr>
          <w:trHeight w:val="839" w:hRule="atLeast"/>
        </w:trPr>
        <w:tc>
          <w:tcPr>
            <w:tcW w:w="10450" w:type="dxa"/>
            <w:gridSpan w:val="4"/>
            <w:shd w:val="clear" w:color="auto" w:fill="FAFCFF"/>
          </w:tcPr>
          <w:p>
            <w:pPr>
              <w:pStyle w:val="TableParagraph"/>
              <w:spacing w:before="116"/>
              <w:ind w:left="14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839" w:hRule="atLeast"/>
        </w:trPr>
        <w:tc>
          <w:tcPr>
            <w:tcW w:w="3823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>
        <w:trPr>
          <w:trHeight w:val="981" w:hRule="atLeast"/>
        </w:trPr>
        <w:tc>
          <w:tcPr>
            <w:tcW w:w="3823" w:type="dxa"/>
          </w:tcPr>
          <w:p>
            <w:pPr>
              <w:pStyle w:val="TableParagraph"/>
              <w:spacing w:line="264" w:lineRule="auto" w:before="198"/>
              <w:ind w:left="115" w:right="464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823" w:type="dxa"/>
          </w:tcPr>
          <w:p>
            <w:pPr>
              <w:pStyle w:val="TableParagraph"/>
              <w:spacing w:line="261" w:lineRule="auto" w:before="198"/>
              <w:ind w:left="115" w:right="406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3823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pStyle w:val="Heading1"/>
      </w:pPr>
      <w:r>
        <w:rPr/>
        <w:t>Hardware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434"/>
        <w:gridCol w:w="3434"/>
      </w:tblGrid>
      <w:tr>
        <w:trPr>
          <w:trHeight w:val="1180" w:hRule="atLeast"/>
        </w:trPr>
        <w:tc>
          <w:tcPr>
            <w:tcW w:w="10302" w:type="dxa"/>
            <w:gridSpan w:val="3"/>
            <w:shd w:val="clear" w:color="auto" w:fill="FAFCFF"/>
          </w:tcPr>
          <w:p>
            <w:pPr>
              <w:pStyle w:val="TableParagraph"/>
              <w:spacing w:before="207"/>
              <w:ind w:left="19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80" w:hRule="atLeast"/>
        </w:trPr>
        <w:tc>
          <w:tcPr>
            <w:tcW w:w="3434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34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34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8.1.1 Requisiti generici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8.1.2 Connessioni standard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8.1.3 Colore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499"/>
              <w:rPr>
                <w:sz w:val="24"/>
              </w:rPr>
            </w:pPr>
            <w:r>
              <w:rPr>
                <w:sz w:val="24"/>
              </w:rPr>
              <w:t>8.2.1.1 Intervallo del volume vocale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22"/>
              <w:rPr>
                <w:sz w:val="24"/>
              </w:rPr>
            </w:pPr>
            <w:r>
              <w:rPr>
                <w:sz w:val="24"/>
              </w:rPr>
              <w:t>8.2.1.2 Controllo del volume incrementale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8.2.2.1 Dispositivi a linea fissa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105"/>
              <w:rPr>
                <w:sz w:val="24"/>
              </w:rPr>
            </w:pPr>
            <w:r>
              <w:rPr>
                <w:sz w:val="24"/>
              </w:rPr>
              <w:t>8.2.2.2 Sistemi di comunicazione wireless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8.3.1 Generalità (informativa)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8.3.2.1 Cambio di livello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319"/>
              <w:rPr>
                <w:sz w:val="24"/>
              </w:rPr>
            </w:pPr>
            <w:r>
              <w:rPr>
                <w:sz w:val="24"/>
              </w:rPr>
              <w:t>8.3.2.2 Superficie libera o area operativa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8.3.2.3.1 Generalità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74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434"/>
        <w:gridCol w:w="3434"/>
      </w:tblGrid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8.3.2.3.2 Approccio frontale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8.3.2.3.3 Approccio laterale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938"/>
              <w:rPr>
                <w:sz w:val="24"/>
              </w:rPr>
            </w:pPr>
            <w:r>
              <w:rPr>
                <w:sz w:val="24"/>
              </w:rPr>
              <w:t>8.3.2.4 Larghezza spazio ginocchia e piedi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8.3.2.5 Spazio per piedi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8.3.2.6 Spazio per ginocchia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4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8.3.3.1.1 Accesso frontale in alto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39"/>
              <w:rPr>
                <w:sz w:val="24"/>
              </w:rPr>
            </w:pPr>
            <w:r>
              <w:rPr>
                <w:sz w:val="24"/>
              </w:rPr>
              <w:t>8.3.3.1.2 Accesso frontale in basso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1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8.3.3.1.3.1 Superficie libera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8.3.3.1.3.2 Ostruzione accesso frontale (&lt; 510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8.3.3.1.3.3 Ostruzione accesso frontale (&lt; 635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144"/>
              <w:rPr>
                <w:sz w:val="24"/>
              </w:rPr>
            </w:pPr>
            <w:r>
              <w:rPr>
                <w:sz w:val="24"/>
              </w:rPr>
              <w:t>8.3.3.2.1 Accesso laterale in alto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76"/>
              <w:rPr>
                <w:sz w:val="24"/>
              </w:rPr>
            </w:pPr>
            <w:r>
              <w:rPr>
                <w:sz w:val="24"/>
              </w:rPr>
              <w:t>8.3.3.2.2 Accesso laterale in basso non ostruito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8.3.3.2.3.1 Ostruzione accesso laterale (&lt; 255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8.3.3.2.3.2 Ostruzione accesso laterale (&lt; 610 mm)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3434"/>
        <w:gridCol w:w="3434"/>
      </w:tblGrid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8.3.4 Visibilità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8.3.5 Istruzioni di installazione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3434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8.4.1 Tasti numerici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758"/>
              <w:rPr>
                <w:sz w:val="24"/>
              </w:rPr>
            </w:pPr>
            <w:r>
              <w:rPr>
                <w:sz w:val="24"/>
              </w:rPr>
              <w:t>8.4.2.1 Metodi di funzionamento delle parti meccaniche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259"/>
              <w:rPr>
                <w:sz w:val="24"/>
              </w:rPr>
            </w:pPr>
            <w:r>
              <w:rPr>
                <w:sz w:val="24"/>
              </w:rPr>
              <w:t>8.4.2.2 Forza di funzionamento delle parti meccaniche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579"/>
              <w:rPr>
                <w:sz w:val="24"/>
              </w:rPr>
            </w:pPr>
            <w:r>
              <w:rPr>
                <w:sz w:val="24"/>
              </w:rPr>
              <w:t>8.4.3 Chiavi, biglietti e carte tariffarie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34" w:type="dxa"/>
          </w:tcPr>
          <w:p>
            <w:pPr>
              <w:pStyle w:val="TableParagraph"/>
              <w:spacing w:line="261" w:lineRule="auto" w:before="198"/>
              <w:ind w:left="115" w:right="659"/>
              <w:rPr>
                <w:sz w:val="24"/>
              </w:rPr>
            </w:pPr>
            <w:r>
              <w:rPr>
                <w:sz w:val="24"/>
              </w:rPr>
              <w:t>8.5 Indicazione tattile della modalità vocale</w:t>
            </w: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11"/>
        <w:rPr>
          <w:b/>
        </w:rPr>
      </w:pPr>
    </w:p>
    <w:p>
      <w:pPr>
        <w:spacing w:before="3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Software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1180" w:hRule="atLeast"/>
        </w:trPr>
        <w:tc>
          <w:tcPr>
            <w:tcW w:w="10451" w:type="dxa"/>
            <w:gridSpan w:val="3"/>
            <w:shd w:val="clear" w:color="auto" w:fill="FAFCFF"/>
          </w:tcPr>
          <w:p>
            <w:pPr>
              <w:pStyle w:val="TableParagraph"/>
              <w:spacing w:before="220"/>
              <w:ind w:left="22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>
        <w:trPr>
          <w:trHeight w:val="1180" w:hRule="atLeast"/>
        </w:trPr>
        <w:tc>
          <w:tcPr>
            <w:tcW w:w="3485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3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3" w:type="dxa"/>
            <w:shd w:val="clear" w:color="auto" w:fill="0066CC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11.1.1.1.1 Contenuti non testuali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11.1.1.1.2 Contenuti non testuali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11.1.2.1.2.1 Solo audio preregistrato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11.1.2.1.2.2 Solo video preregistrato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(preregistrati)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22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40"/>
              <w:rPr>
                <w:sz w:val="24"/>
              </w:rPr>
            </w:pPr>
            <w:r>
              <w:rPr>
                <w:sz w:val="24"/>
              </w:rPr>
              <w:t>11.1.2.4 Sottotitolo (in tempo reale)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55"/>
              <w:rPr>
                <w:sz w:val="24"/>
              </w:rPr>
            </w:pPr>
            <w:r>
              <w:rPr>
                <w:sz w:val="24"/>
              </w:rPr>
              <w:t>11.1.3.1.1 Informazioni e correlazioni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77"/>
              <w:rPr>
                <w:sz w:val="24"/>
              </w:rPr>
            </w:pPr>
            <w:r>
              <w:rPr>
                <w:sz w:val="24"/>
              </w:rPr>
              <w:t>11.1.3.1.2 Informazioni e correlazioni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11.1.3.2.1 Sequenza significativa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11.1.3.2.2 Sequenza significativa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15"/>
              <w:rPr>
                <w:sz w:val="24"/>
              </w:rPr>
            </w:pPr>
            <w:r>
              <w:rPr>
                <w:sz w:val="24"/>
              </w:rPr>
              <w:t>11.1.3.5 Identificare lo scopo degli input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11.1.4.5.2 Immagini di testo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104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629"/>
              <w:rPr>
                <w:sz w:val="24"/>
              </w:rPr>
            </w:pPr>
            <w:r>
              <w:rPr>
                <w:sz w:val="24"/>
              </w:rPr>
              <w:t>11.2.5.2 Cancellazione delle azioni del puntatore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11.2.5.3 Etichetta nel nome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99"/>
              <w:rPr>
                <w:sz w:val="24"/>
              </w:rPr>
            </w:pPr>
            <w:r>
              <w:rPr>
                <w:sz w:val="24"/>
              </w:rPr>
              <w:t>11.2.5.4 Azionamento da movimento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11.3.1.1.1 Lingua del software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11.3.1.1.2 Lingua del software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11.3.2.1 Al focus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11.3.2.2 All’input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11.3.3.1.1 Identificazione degli errori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11.3.3.1.2 Identificazione degli errori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11.3.3.2 Etichette o istruzioni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541"/>
              <w:rPr>
                <w:sz w:val="24"/>
              </w:rPr>
            </w:pPr>
            <w:r>
              <w:rPr>
                <w:sz w:val="24"/>
              </w:rPr>
              <w:t>11.3.3.3 Suggerimenti per gli errori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63"/>
              <w:rPr>
                <w:sz w:val="24"/>
              </w:rPr>
            </w:pPr>
            <w:r>
              <w:rPr>
                <w:sz w:val="24"/>
              </w:rPr>
              <w:t>11.3.3.4 Prevenzione degli errori (legali, finanziari, dati)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585"/>
              <w:rPr>
                <w:sz w:val="24"/>
              </w:rPr>
            </w:pPr>
            <w:r>
              <w:rPr>
                <w:sz w:val="24"/>
              </w:rPr>
              <w:t>11.4.1.1.1 Analisi sintattica - parsing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461"/>
              <w:rPr>
                <w:sz w:val="24"/>
              </w:rPr>
            </w:pPr>
            <w:r>
              <w:rPr>
                <w:sz w:val="24"/>
              </w:rPr>
              <w:t>11.4.1.1.2 Analisi sintattica (parsing)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11.4.1.2.1 Nome, ruolo, valore (funzionalità aperta)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11.4.1.2.2 Nome, ruolo, valore (funzionalità chiusa)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11.5.1 Funzionalità chiusa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22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08"/>
              <w:rPr>
                <w:sz w:val="24"/>
              </w:rPr>
            </w:pPr>
            <w:r>
              <w:rPr>
                <w:sz w:val="24"/>
              </w:rPr>
              <w:t>11.5.2.1 Supporto del servizio di accessibilità della piattaforma per il software che fornisce un'interfaccia utente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08"/>
              <w:rPr>
                <w:sz w:val="24"/>
              </w:rPr>
            </w:pPr>
            <w:r>
              <w:rPr>
                <w:sz w:val="24"/>
              </w:rPr>
              <w:t>11.5.2.2 Supporto del servizio di accessibilità della piattaforma per le tecnologie assistive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866"/>
              <w:rPr>
                <w:sz w:val="24"/>
              </w:rPr>
            </w:pPr>
            <w:r>
              <w:rPr>
                <w:sz w:val="24"/>
              </w:rPr>
              <w:t>11.5.2.3 Uso dei servizi di 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11.5.2.4 Tecnologia assistiva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261"/>
              <w:rPr>
                <w:sz w:val="24"/>
              </w:rPr>
            </w:pPr>
            <w:r>
              <w:rPr>
                <w:sz w:val="24"/>
              </w:rPr>
              <w:t>11.5.2.5 Informazioni sull’oggetto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17"/>
              <w:rPr>
                <w:sz w:val="24"/>
              </w:rPr>
            </w:pPr>
            <w:r>
              <w:rPr>
                <w:sz w:val="24"/>
              </w:rPr>
              <w:t>11.5.2.6 Riga, colonna e intestazioni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11.5.2.7 Valori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11.5.2.8 Relazioni etichetta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11.5.2.9 Relazioni genitore-figlio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11.5.2.10 Testo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72"/>
              <w:rPr>
                <w:sz w:val="24"/>
              </w:rPr>
            </w:pPr>
            <w:r>
              <w:rPr>
                <w:sz w:val="24"/>
              </w:rPr>
              <w:t>11.5.2.11 Elenco delle azioni disponibili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31"/>
              <w:rPr>
                <w:sz w:val="24"/>
              </w:rPr>
            </w:pPr>
            <w:r>
              <w:rPr>
                <w:sz w:val="24"/>
              </w:rPr>
              <w:t>11.5.2.12 Esecuzione di azioni disponibili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18"/>
              <w:rPr>
                <w:sz w:val="24"/>
              </w:rPr>
            </w:pPr>
            <w:r>
              <w:rPr>
                <w:sz w:val="24"/>
              </w:rPr>
              <w:t>11.5.2.13 Tracciamento degli attributi di focus e selezione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37"/>
              <w:rPr>
                <w:sz w:val="24"/>
              </w:rPr>
            </w:pPr>
            <w:r>
              <w:rPr>
                <w:sz w:val="24"/>
              </w:rPr>
              <w:t>11.5.2.14 Modifica degli attributi di focus e selezione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83"/>
              <w:rPr>
                <w:sz w:val="24"/>
              </w:rPr>
            </w:pPr>
            <w:r>
              <w:rPr>
                <w:sz w:val="24"/>
              </w:rPr>
              <w:t>11.5.2.15 Notifica delle modifiche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628"/>
              <w:rPr>
                <w:sz w:val="24"/>
              </w:rPr>
            </w:pPr>
            <w:r>
              <w:rPr>
                <w:sz w:val="24"/>
              </w:rPr>
              <w:t>11.5.2.16 Modifica di stati e proprietà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509"/>
              <w:rPr>
                <w:sz w:val="24"/>
              </w:rPr>
            </w:pPr>
            <w:r>
              <w:rPr>
                <w:sz w:val="24"/>
              </w:rPr>
              <w:t>11.5.2.17 Modifica di valori e testo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126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205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11.8.1 Tecnologia del contenuto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1302" w:footer="464" w:top="2020" w:bottom="660" w:left="600" w:right="420"/>
        </w:sectPr>
      </w:pP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3483"/>
        <w:gridCol w:w="3483"/>
      </w:tblGrid>
      <w:tr>
        <w:trPr>
          <w:trHeight w:val="981" w:hRule="atLeast"/>
        </w:trPr>
        <w:tc>
          <w:tcPr>
            <w:tcW w:w="3485" w:type="dxa"/>
          </w:tcPr>
          <w:p>
            <w:pPr>
              <w:pStyle w:val="TableParagraph"/>
              <w:spacing w:line="264" w:lineRule="auto" w:before="198"/>
              <w:ind w:left="115" w:right="407"/>
              <w:rPr>
                <w:sz w:val="24"/>
              </w:rPr>
            </w:pPr>
            <w:r>
              <w:rPr>
                <w:sz w:val="24"/>
              </w:rPr>
              <w:t>11.8.2 Creazione di contenuto accessibile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06"/>
              <w:rPr>
                <w:sz w:val="24"/>
              </w:rPr>
            </w:pPr>
            <w:r>
              <w:rPr>
                <w:sz w:val="24"/>
              </w:rPr>
              <w:t>11.8.3 Conservazione nelle trasformazioni delle informazioni sull’accessibilità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485" w:type="dxa"/>
          </w:tcPr>
          <w:p>
            <w:pPr>
              <w:pStyle w:val="TableParagraph"/>
              <w:spacing w:line="261" w:lineRule="auto" w:before="198"/>
              <w:ind w:left="115" w:right="1149"/>
              <w:rPr>
                <w:sz w:val="24"/>
              </w:rPr>
            </w:pPr>
            <w:r>
              <w:rPr>
                <w:sz w:val="24"/>
              </w:rPr>
              <w:t>11.8.4 Suggerimenti di riparazione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3485" w:type="dxa"/>
          </w:tcPr>
          <w:p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11.8.5 Modelli</w:t>
            </w: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00" w:h="16850"/>
      <w:pgMar w:header="1302" w:footer="464" w:top="2020" w:bottom="66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03.839966pt;width:79.05pt;height:14pt;mso-position-horizontal-relative:page;mso-position-vertical-relative:page;z-index:-177751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Pagina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di 37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40864">
          <wp:simplePos x="0" y="0"/>
          <wp:positionH relativeFrom="page">
            <wp:posOffset>421005</wp:posOffset>
          </wp:positionH>
          <wp:positionV relativeFrom="page">
            <wp:posOffset>826771</wp:posOffset>
          </wp:positionV>
          <wp:extent cx="2195828" cy="46795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828" cy="46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760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1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3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5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7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19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31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43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55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20"/>
      <w:outlineLvl w:val="1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389" w:right="1860" w:hanging="3"/>
      <w:jc w:val="center"/>
    </w:pPr>
    <w:rPr>
      <w:rFonts w:ascii="Arial" w:hAnsi="Arial" w:eastAsia="Arial" w:cs="Arial"/>
      <w:b/>
      <w:bCs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760" w:hanging="358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www.w3.org/Translations/WCAG20-it/" TargetMode="External"/><Relationship Id="rId9" Type="http://schemas.openxmlformats.org/officeDocument/2006/relationships/hyperlink" Target="https://www.w3.org/Translations/WCAG21-it/" TargetMode="External"/><Relationship Id="rId10" Type="http://schemas.openxmlformats.org/officeDocument/2006/relationships/hyperlink" Target="https://www.w3.org/Translations/WCAG21-it/#non-text-content" TargetMode="External"/><Relationship Id="rId11" Type="http://schemas.openxmlformats.org/officeDocument/2006/relationships/hyperlink" Target="https://www.w3.org/Translations/WCAG21-it/#audio-only-and-video-only-prerecorded" TargetMode="External"/><Relationship Id="rId12" Type="http://schemas.openxmlformats.org/officeDocument/2006/relationships/hyperlink" Target="https://www.w3.org/Translations/WCAG21-it/#captions-prerecorded" TargetMode="External"/><Relationship Id="rId13" Type="http://schemas.openxmlformats.org/officeDocument/2006/relationships/hyperlink" Target="https://www.w3.org/Translations/WCAG21-it/#audio-description-or-media-alternative-prerecorded" TargetMode="External"/><Relationship Id="rId14" Type="http://schemas.openxmlformats.org/officeDocument/2006/relationships/hyperlink" Target="https://www.w3.org/Translations/WCAG21-it/#captions-live" TargetMode="External"/><Relationship Id="rId15" Type="http://schemas.openxmlformats.org/officeDocument/2006/relationships/hyperlink" Target="https://www.w3.org/Translations/WCAG21-it/#audio-description-prerecorded" TargetMode="External"/><Relationship Id="rId16" Type="http://schemas.openxmlformats.org/officeDocument/2006/relationships/hyperlink" Target="https://www.w3.org/Translations/WCAG21-it/#info-and-relationships" TargetMode="External"/><Relationship Id="rId17" Type="http://schemas.openxmlformats.org/officeDocument/2006/relationships/hyperlink" Target="https://www.w3.org/Translations/WCAG21-it/#meaningful-sequence" TargetMode="External"/><Relationship Id="rId18" Type="http://schemas.openxmlformats.org/officeDocument/2006/relationships/hyperlink" Target="https://www.w3.org/Translations/WCAG21-it/#orientation" TargetMode="External"/><Relationship Id="rId19" Type="http://schemas.openxmlformats.org/officeDocument/2006/relationships/hyperlink" Target="https://www.w3.org/Translations/WCAG21-it/#identify-input-purpose" TargetMode="External"/><Relationship Id="rId20" Type="http://schemas.openxmlformats.org/officeDocument/2006/relationships/hyperlink" Target="https://www.w3.org/Translations/WCAG21-it/#use-of-color" TargetMode="External"/><Relationship Id="rId21" Type="http://schemas.openxmlformats.org/officeDocument/2006/relationships/hyperlink" Target="https://www.w3.org/Translations/WCAG21-it/#audio-control" TargetMode="External"/><Relationship Id="rId22" Type="http://schemas.openxmlformats.org/officeDocument/2006/relationships/hyperlink" Target="https://www.w3.org/Translations/WCAG21-it/#contrast-minimum" TargetMode="External"/><Relationship Id="rId23" Type="http://schemas.openxmlformats.org/officeDocument/2006/relationships/hyperlink" Target="https://www.w3.org/Translations/WCAG21-it/#resize-text" TargetMode="External"/><Relationship Id="rId24" Type="http://schemas.openxmlformats.org/officeDocument/2006/relationships/hyperlink" Target="https://www.w3.org/Translations/WCAG21-it/#images-of-text" TargetMode="External"/><Relationship Id="rId25" Type="http://schemas.openxmlformats.org/officeDocument/2006/relationships/hyperlink" Target="https://www.w3.org/Translations/WCAG21-it/#reflow" TargetMode="External"/><Relationship Id="rId26" Type="http://schemas.openxmlformats.org/officeDocument/2006/relationships/hyperlink" Target="https://www.w3.org/Translations/WCAG21-it/#non-text-contrast" TargetMode="External"/><Relationship Id="rId27" Type="http://schemas.openxmlformats.org/officeDocument/2006/relationships/hyperlink" Target="https://www.w3.org/Translations/WCAG21-it/#text-spacing" TargetMode="External"/><Relationship Id="rId28" Type="http://schemas.openxmlformats.org/officeDocument/2006/relationships/hyperlink" Target="https://www.w3.org/Translations/WCAG21-it/#content-on-hover-or-focus" TargetMode="External"/><Relationship Id="rId29" Type="http://schemas.openxmlformats.org/officeDocument/2006/relationships/hyperlink" Target="https://www.w3.org/Translations/WCAG21-it/#keyboard" TargetMode="External"/><Relationship Id="rId30" Type="http://schemas.openxmlformats.org/officeDocument/2006/relationships/hyperlink" Target="https://www.w3.org/Translations/WCAG21-it/#no-keyboard-trap" TargetMode="External"/><Relationship Id="rId31" Type="http://schemas.openxmlformats.org/officeDocument/2006/relationships/hyperlink" Target="https://www.w3.org/Translations/WCAG21-it/#character-key-shortcuts" TargetMode="External"/><Relationship Id="rId32" Type="http://schemas.openxmlformats.org/officeDocument/2006/relationships/hyperlink" Target="https://www.w3.org/Translations/WCAG21-it/#timing-adjustable" TargetMode="External"/><Relationship Id="rId33" Type="http://schemas.openxmlformats.org/officeDocument/2006/relationships/hyperlink" Target="https://www.w3.org/Translations/WCAG21-it/#pause-stop-hide" TargetMode="External"/><Relationship Id="rId34" Type="http://schemas.openxmlformats.org/officeDocument/2006/relationships/hyperlink" Target="https://www.w3.org/Translations/WCAG21-it/#three-flashes-or-below-threshold" TargetMode="External"/><Relationship Id="rId35" Type="http://schemas.openxmlformats.org/officeDocument/2006/relationships/hyperlink" Target="https://www.w3.org/Translations/WCAG21-it/#bypass-blocks" TargetMode="External"/><Relationship Id="rId36" Type="http://schemas.openxmlformats.org/officeDocument/2006/relationships/hyperlink" Target="https://www.w3.org/Translations/WCAG21-it/#page-titled" TargetMode="External"/><Relationship Id="rId37" Type="http://schemas.openxmlformats.org/officeDocument/2006/relationships/hyperlink" Target="https://www.w3.org/Translations/WCAG21-it/#focus-order" TargetMode="External"/><Relationship Id="rId38" Type="http://schemas.openxmlformats.org/officeDocument/2006/relationships/hyperlink" Target="https://www.w3.org/Translations/WCAG21-it/#link-purpose-in-context" TargetMode="External"/><Relationship Id="rId39" Type="http://schemas.openxmlformats.org/officeDocument/2006/relationships/hyperlink" Target="https://www.w3.org/Translations/WCAG21-it/#multiple-ways" TargetMode="External"/><Relationship Id="rId40" Type="http://schemas.openxmlformats.org/officeDocument/2006/relationships/hyperlink" Target="https://www.w3.org/Translations/WCAG21-it/#headings-and-labels" TargetMode="External"/><Relationship Id="rId41" Type="http://schemas.openxmlformats.org/officeDocument/2006/relationships/hyperlink" Target="https://www.w3.org/Translations/WCAG21-it/#focus-visible" TargetMode="External"/><Relationship Id="rId42" Type="http://schemas.openxmlformats.org/officeDocument/2006/relationships/hyperlink" Target="https://www.w3.org/Translations/WCAG21-it/#pointer-gestures" TargetMode="External"/><Relationship Id="rId43" Type="http://schemas.openxmlformats.org/officeDocument/2006/relationships/hyperlink" Target="https://www.w3.org/Translations/WCAG21-it/#pointer-cancellation" TargetMode="External"/><Relationship Id="rId44" Type="http://schemas.openxmlformats.org/officeDocument/2006/relationships/hyperlink" Target="https://www.w3.org/Translations/WCAG21-it/#label-in-name" TargetMode="External"/><Relationship Id="rId45" Type="http://schemas.openxmlformats.org/officeDocument/2006/relationships/hyperlink" Target="https://www.w3.org/Translations/WCAG21-it/#motion-actuation" TargetMode="External"/><Relationship Id="rId46" Type="http://schemas.openxmlformats.org/officeDocument/2006/relationships/hyperlink" Target="https://www.w3.org/Translations/WCAG21-it/#language-of-page" TargetMode="External"/><Relationship Id="rId47" Type="http://schemas.openxmlformats.org/officeDocument/2006/relationships/hyperlink" Target="https://www.w3.org/Translations/WCAG21-it/#language-of-parts" TargetMode="External"/><Relationship Id="rId48" Type="http://schemas.openxmlformats.org/officeDocument/2006/relationships/hyperlink" Target="https://www.w3.org/Translations/WCAG21-it/#on-focus" TargetMode="External"/><Relationship Id="rId49" Type="http://schemas.openxmlformats.org/officeDocument/2006/relationships/hyperlink" Target="https://www.w3.org/Translations/WCAG21-it/#on-input" TargetMode="External"/><Relationship Id="rId50" Type="http://schemas.openxmlformats.org/officeDocument/2006/relationships/hyperlink" Target="https://www.w3.org/Translations/WCAG21-it/#consistent-navigation" TargetMode="External"/><Relationship Id="rId51" Type="http://schemas.openxmlformats.org/officeDocument/2006/relationships/hyperlink" Target="https://www.w3.org/Translations/WCAG21-it/#consistent-identification" TargetMode="External"/><Relationship Id="rId52" Type="http://schemas.openxmlformats.org/officeDocument/2006/relationships/hyperlink" Target="https://www.w3.org/Translations/WCAG21-it/#error-identification" TargetMode="External"/><Relationship Id="rId53" Type="http://schemas.openxmlformats.org/officeDocument/2006/relationships/hyperlink" Target="https://www.w3.org/Translations/WCAG21-it/#labels-or-instructions" TargetMode="External"/><Relationship Id="rId54" Type="http://schemas.openxmlformats.org/officeDocument/2006/relationships/hyperlink" Target="https://www.w3.org/Translations/WCAG21-it/#error-suggestion" TargetMode="External"/><Relationship Id="rId55" Type="http://schemas.openxmlformats.org/officeDocument/2006/relationships/hyperlink" Target="https://www.w3.org/Translations/WCAG21-it/#error-prevention-legal-financial-data" TargetMode="External"/><Relationship Id="rId56" Type="http://schemas.openxmlformats.org/officeDocument/2006/relationships/hyperlink" Target="https://www.w3.org/Translations/WCAG21-it/#parsing" TargetMode="External"/><Relationship Id="rId57" Type="http://schemas.openxmlformats.org/officeDocument/2006/relationships/hyperlink" Target="https://www.w3.org/Translations/WCAG21-it/#name-role-value" TargetMode="External"/><Relationship Id="rId58" Type="http://schemas.openxmlformats.org/officeDocument/2006/relationships/hyperlink" Target="https://www.w3.org/Translations/WCAG21-it/#status-messages" TargetMode="External"/><Relationship Id="rId5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AGID</dc:creator>
  <dcterms:created xsi:type="dcterms:W3CDTF">2020-09-17T07:49:34Z</dcterms:created>
  <dcterms:modified xsi:type="dcterms:W3CDTF">2020-09-17T07:49:34Z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2020-09-17T00:00:00Z</vt:filetime>
  </property>
</Properties>
</file>